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0"/>
        <w:jc w:val="center"/>
      </w:pPr>
      <w:r>
        <w:rPr>
          <w:rFonts w:ascii="Aptos" w:hAnsi="Aptos"/>
          <w:b/>
          <w:color w:val="2F7038"/>
          <w:sz w:val="22"/>
        </w:rPr>
        <w:t>МЕЖРЕГИОНАЛЬНАЯ ОБЩЕСТВЕННАЯ ОРГАНИЗАЦИЯ</w:t>
        <w:br/>
        <w:t>«ФЕДЕРАЦИЯ МНЕМОСПОРТА»</w:t>
      </w:r>
    </w:p>
    <w:p>
      <w:pPr>
        <w:spacing w:before="800"/>
        <w:jc w:val="center"/>
      </w:pPr>
      <w:r>
        <w:rPr>
          <w:rFonts w:ascii="Aptos Display" w:hAnsi="Aptos Display"/>
          <w:b/>
          <w:color w:val="1F2B21"/>
          <w:sz w:val="50"/>
        </w:rPr>
        <w:t>ЕДИНЫЙ РЕЕСТР ДИСЦИПЛИН</w:t>
      </w:r>
    </w:p>
    <w:p>
      <w:pPr>
        <w:jc w:val="center"/>
      </w:pPr>
      <w:r>
        <w:rPr>
          <w:color w:val="2F7038"/>
          <w:sz w:val="26"/>
        </w:rPr>
        <w:t>III Национального онлайн-турнира по мнемоспорту</w:t>
      </w:r>
    </w:p>
    <w:p>
      <w:pPr>
        <w:spacing w:before="1100"/>
        <w:jc w:val="center"/>
      </w:pPr>
      <w:r>
        <w:rPr>
          <w:color w:val="66705F"/>
          <w:sz w:val="21"/>
        </w:rPr>
        <w:t>Редакция от 1 сентября 2026 года</w:t>
        <w:br/>
        <w:t>Рабочая редактируемая версия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9D7B2"/>
          <w:left w:val="single" w:sz="6" w:space="0" w:color="B9D7B2"/>
          <w:bottom w:val="single" w:sz="6" w:space="0" w:color="B9D7B2"/>
          <w:right w:val="single" w:sz="6" w:space="0" w:color="B9D7B2"/>
          <w:insideH w:val="single" w:sz="6" w:space="0" w:color="B9D7B2"/>
          <w:insideV w:val="single" w:sz="6" w:space="0" w:color="B9D7B2"/>
        </w:tblBorders>
      </w:tblPr>
      <w:tblGrid>
        <w:gridCol w:w="10171"/>
      </w:tblGrid>
      <w:tr>
        <w:tc>
          <w:tcPr>
            <w:tcW w:type="dxa" w:w="10171"/>
            <w:shd w:fill="EDF5EA"/>
            <w:tcMar>
              <w:top w:w="160" w:type="dxa"/>
              <w:start w:w="170" w:type="dxa"/>
              <w:bottom w:w="160" w:type="dxa"/>
              <w:end w:w="170" w:type="dxa"/>
            </w:tcMar>
          </w:tcPr>
          <w:p>
            <w:r>
              <w:rPr>
                <w:b/>
                <w:color w:val="2F7038"/>
              </w:rPr>
              <w:t xml:space="preserve">Как пользоваться Реестром. </w:t>
            </w:r>
            <w:r>
              <w:t>Каждая карточка отвечает на пять вопросов: что делает участник, какой материал используется, что считается правильным, как учитывается время и как результат переводится в турнирные баллы.</w:t>
            </w:r>
          </w:p>
        </w:tc>
      </w:tr>
    </w:tbl>
    <w:p>
      <w:pPr>
        <w:spacing w:after="0"/>
      </w:pPr>
    </w:p>
    <w:p>
      <w:pPr>
        <w:pStyle w:val="Heading1"/>
      </w:pPr>
      <w:r>
        <w:t>1. Статус Реестра и общие правила</w:t>
      </w:r>
    </w:p>
    <w:p>
      <w:r>
        <w:t>1.1. Реестр является приложением к Правилам III Национального онлайн-турнира по мнемоспорту. Настоящая редакция применяется к дисциплинам первого этапа, а также описывает формат дисциплин второго и третьего этапов.</w:t>
      </w:r>
    </w:p>
    <w:p>
      <w:r>
        <w:t>1.2. Экран дисциплины перед стартом показывает актуальные объём, лимит времени, порядок ввода и доступный статус попытки. Если фактические данные базы меняются из-за исправления ошибки, Организатор публикует исправление до открытия соответствующей турнирной попытки.</w:t>
      </w:r>
    </w:p>
    <w:p>
      <w:pPr>
        <w:pStyle w:val="Heading2"/>
      </w:pPr>
      <w:r>
        <w:t>1.3. Общие обозначения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BD2B4"/>
          <w:left w:val="single" w:sz="6" w:space="0" w:color="BBD2B4"/>
          <w:bottom w:val="single" w:sz="6" w:space="0" w:color="BBD2B4"/>
          <w:right w:val="single" w:sz="6" w:space="0" w:color="BBD2B4"/>
          <w:insideH w:val="single" w:sz="6" w:space="0" w:color="BBD2B4"/>
          <w:insideV w:val="single" w:sz="6" w:space="0" w:color="BBD2B4"/>
        </w:tblBorders>
      </w:tblPr>
      <w:tblGrid>
        <w:gridCol w:w="5085"/>
        <w:gridCol w:w="5085"/>
      </w:tblGrid>
      <w:tr>
        <w:trPr>
          <w:tblHeader w:val="true"/>
          <w:cantSplit/>
        </w:trPr>
        <w:tc>
          <w:tcPr>
            <w:tcW w:type="dxa" w:w="1814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Обозначение</w:t>
            </w:r>
          </w:p>
        </w:tc>
        <w:tc>
          <w:tcPr>
            <w:tcW w:type="dxa" w:w="7370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Значение</w:t>
            </w:r>
          </w:p>
        </w:tc>
      </w:tr>
      <w:tr>
        <w:trPr>
          <w:cantSplit/>
        </w:trPr>
        <w:tc>
          <w:tcPr>
            <w:tcW w:type="dxa" w:w="181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C</w:t>
            </w:r>
          </w:p>
        </w:tc>
        <w:tc>
          <w:tcPr>
            <w:tcW w:type="dxa" w:w="737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Число правильных ответов, правильных позиций или первичных баллов — согласно карточке дисциплины.</w:t>
            </w:r>
          </w:p>
        </w:tc>
      </w:tr>
      <w:tr>
        <w:trPr>
          <w:cantSplit/>
        </w:trPr>
        <w:tc>
          <w:tcPr>
            <w:tcW w:type="dxa" w:w="181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P</w:t>
            </w:r>
          </w:p>
        </w:tc>
        <w:tc>
          <w:tcPr>
            <w:tcW w:type="dxa" w:w="737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Первичные баллы; используется там, где за одну позицию возможно несколько баллов.</w:t>
            </w:r>
          </w:p>
        </w:tc>
      </w:tr>
      <w:tr>
        <w:trPr>
          <w:cantSplit/>
        </w:trPr>
        <w:tc>
          <w:tcPr>
            <w:tcW w:type="dxa" w:w="181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T</w:t>
            </w:r>
          </w:p>
        </w:tc>
        <w:tc>
          <w:tcPr>
            <w:tcW w:type="dxa" w:w="737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Время в секундах, использованное в формуле; его вид указан в карточке.</w:t>
            </w:r>
          </w:p>
        </w:tc>
      </w:tr>
      <w:tr>
        <w:trPr>
          <w:cantSplit/>
        </w:trPr>
        <w:tc>
          <w:tcPr>
            <w:tcW w:type="dxa" w:w="181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K</w:t>
            </w:r>
          </w:p>
        </w:tc>
        <w:tc>
          <w:tcPr>
            <w:tcW w:type="dxa" w:w="737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Коэффициент освоенности базы: освоенные элементы ÷ все элементы базы, 0 ≤ K ≤ 1.</w:t>
            </w:r>
          </w:p>
        </w:tc>
      </w:tr>
      <w:tr>
        <w:trPr>
          <w:cantSplit/>
        </w:trPr>
        <w:tc>
          <w:tcPr>
            <w:tcW w:type="dxa" w:w="181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S</w:t>
            </w:r>
          </w:p>
        </w:tc>
        <w:tc>
          <w:tcPr>
            <w:tcW w:type="dxa" w:w="737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Итоговый турнирный балл дисциплины по тысячебалльной шкале.</w:t>
            </w:r>
          </w:p>
        </w:tc>
      </w:tr>
    </w:tbl>
    <w:p>
      <w:pPr>
        <w:spacing w:after="0"/>
      </w:pPr>
    </w:p>
    <w:p>
      <w:r>
        <w:t>1.4. Во всех дисциплинах первого этапа, кроме «Таблицы Менделеева», применяется K: S = базовые баллы × K. K подтверждается изучаемой базой или зафиксированными правильными ответами в турнирных попытках. Неверный актуальный ответ снимает освоенность соответствующего элемента. Значение K для второго этапа фиксируется в момент закрытия первого этапа.</w:t>
      </w:r>
    </w:p>
    <w:p>
      <w:r>
        <w:t>1.5. У «Таблицы Менделеева» коэффициент K не применяется: полнота и точность знания таблицы непосредственно измеряются числом правильно воспроизведённых элементов.</w:t>
      </w:r>
    </w:p>
    <w:p>
      <w:pPr>
        <w:pStyle w:val="Heading1"/>
      </w:pPr>
      <w:r>
        <w:t>2. Сводная таблица дисциплин первого этапа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BD2B4"/>
          <w:left w:val="single" w:sz="6" w:space="0" w:color="BBD2B4"/>
          <w:bottom w:val="single" w:sz="6" w:space="0" w:color="BBD2B4"/>
          <w:right w:val="single" w:sz="6" w:space="0" w:color="BBD2B4"/>
          <w:insideH w:val="single" w:sz="6" w:space="0" w:color="BBD2B4"/>
          <w:insideV w:val="single" w:sz="6" w:space="0" w:color="BBD2B4"/>
        </w:tblBorders>
      </w:tblPr>
      <w:tblGrid>
        <w:gridCol w:w="3390"/>
        <w:gridCol w:w="3390"/>
        <w:gridCol w:w="3390"/>
      </w:tblGrid>
      <w:tr>
        <w:trPr>
          <w:tblHeader w:val="true"/>
          <w:cantSplit/>
        </w:trPr>
        <w:tc>
          <w:tcPr>
            <w:tcW w:type="dxa" w:w="1984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Дисциплина</w:t>
            </w:r>
          </w:p>
        </w:tc>
        <w:tc>
          <w:tcPr>
            <w:tcW w:type="dxa" w:w="3458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Первичный максимум / стандарт</w:t>
            </w:r>
          </w:p>
        </w:tc>
        <w:tc>
          <w:tcPr>
            <w:tcW w:type="dxa" w:w="3742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Тысячебалльный ориентир</w:t>
            </w:r>
          </w:p>
        </w:tc>
      </w:tr>
      <w:tr>
        <w:trPr>
          <w:cantSplit/>
        </w:trPr>
        <w:tc>
          <w:tcPr>
            <w:tcW w:type="dxa" w:w="19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Спасибо</w:t>
            </w:r>
          </w:p>
        </w:tc>
        <w:tc>
          <w:tcPr>
            <w:tcW w:type="dxa" w:w="345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100 правильных ответов</w:t>
            </w:r>
          </w:p>
        </w:tc>
        <w:tc>
          <w:tcPr>
            <w:tcW w:type="dxa" w:w="374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100 ответов = 1000 × K</w:t>
            </w:r>
          </w:p>
        </w:tc>
      </w:tr>
      <w:tr>
        <w:trPr>
          <w:cantSplit/>
        </w:trPr>
        <w:tc>
          <w:tcPr>
            <w:tcW w:type="dxa" w:w="19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Ударения</w:t>
            </w:r>
          </w:p>
        </w:tc>
        <w:tc>
          <w:tcPr>
            <w:tcW w:type="dxa" w:w="345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300 первичных баллов</w:t>
            </w:r>
          </w:p>
        </w:tc>
        <w:tc>
          <w:tcPr>
            <w:tcW w:type="dxa" w:w="374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300 баллов = 1000 × K</w:t>
            </w:r>
          </w:p>
        </w:tc>
      </w:tr>
      <w:tr>
        <w:trPr>
          <w:cantSplit/>
        </w:trPr>
        <w:tc>
          <w:tcPr>
            <w:tcW w:type="dxa" w:w="19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Фильмы</w:t>
            </w:r>
          </w:p>
        </w:tc>
        <w:tc>
          <w:tcPr>
            <w:tcW w:type="dxa" w:w="345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300 первичных баллов</w:t>
            </w:r>
          </w:p>
        </w:tc>
        <w:tc>
          <w:tcPr>
            <w:tcW w:type="dxa" w:w="374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300 баллов = 1000 × K</w:t>
            </w:r>
          </w:p>
        </w:tc>
      </w:tr>
      <w:tr>
        <w:trPr>
          <w:cantSplit/>
        </w:trPr>
        <w:tc>
          <w:tcPr>
            <w:tcW w:type="dxa" w:w="19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Красная книга</w:t>
            </w:r>
          </w:p>
        </w:tc>
        <w:tc>
          <w:tcPr>
            <w:tcW w:type="dxa" w:w="345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300 правильных ответов за лимит припоминания</w:t>
            </w:r>
          </w:p>
        </w:tc>
        <w:tc>
          <w:tcPr>
            <w:tcW w:type="dxa" w:w="374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300 ответов = 1000 × K</w:t>
            </w:r>
          </w:p>
        </w:tc>
      </w:tr>
      <w:tr>
        <w:trPr>
          <w:cantSplit/>
        </w:trPr>
        <w:tc>
          <w:tcPr>
            <w:tcW w:type="dxa" w:w="19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Таблица Менделеева</w:t>
            </w:r>
          </w:p>
        </w:tc>
        <w:tc>
          <w:tcPr>
            <w:tcW w:type="dxa" w:w="345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118 правильных элементов</w:t>
            </w:r>
          </w:p>
        </w:tc>
        <w:tc>
          <w:tcPr>
            <w:tcW w:type="dxa" w:w="374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118 за 120 сек = 1000; быстрее — больше 1000</w:t>
            </w:r>
          </w:p>
        </w:tc>
      </w:tr>
      <w:tr>
        <w:trPr>
          <w:cantSplit/>
        </w:trPr>
        <w:tc>
          <w:tcPr>
            <w:tcW w:type="dxa" w:w="19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Картины</w:t>
            </w:r>
          </w:p>
        </w:tc>
        <w:tc>
          <w:tcPr>
            <w:tcW w:type="dxa" w:w="345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300 правильных ответов за лимит припоминания</w:t>
            </w:r>
          </w:p>
        </w:tc>
        <w:tc>
          <w:tcPr>
            <w:tcW w:type="dxa" w:w="374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300 ответов = 1000 × K</w:t>
            </w:r>
          </w:p>
        </w:tc>
      </w:tr>
      <w:tr>
        <w:trPr>
          <w:cantSplit/>
        </w:trPr>
        <w:tc>
          <w:tcPr>
            <w:tcW w:type="dxa" w:w="19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Прикладная колода</w:t>
            </w:r>
          </w:p>
        </w:tc>
        <w:tc>
          <w:tcPr>
            <w:tcW w:type="dxa" w:w="345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52 позиции</w:t>
            </w:r>
          </w:p>
        </w:tc>
        <w:tc>
          <w:tcPr>
            <w:tcW w:type="dxa" w:w="374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52 за 60 сек запоминания = 1000 × K</w:t>
            </w:r>
          </w:p>
        </w:tc>
      </w:tr>
    </w:tbl>
    <w:p>
      <w:pPr>
        <w:spacing w:after="0"/>
      </w:pPr>
    </w:p>
    <w:p>
      <w:pPr>
        <w:pStyle w:val="Heading1"/>
      </w:pPr>
      <w:r>
        <w:t>3. Первый этап: паспорта дисциплин</w:t>
      </w:r>
    </w:p>
    <w:p>
      <w:pPr>
        <w:pStyle w:val="Heading2"/>
      </w:pPr>
      <w:r>
        <w:t>3.1. «Спасибо»</w:t>
      </w:r>
    </w:p>
    <w:p>
      <w:r>
        <w:t>Материал и действие. Участник воспроизводит элементы базы «Спасибо» в форме, установленной экраном дисциплины. Каждый правильный ответ даёт один первичный балл. Правильность проверяется по ключу базы.</w:t>
      </w:r>
    </w:p>
    <w:p>
      <w:pPr>
        <w:spacing w:before="40" w:after="120"/>
        <w:jc w:val="center"/>
      </w:pPr>
      <w:r>
        <w:rPr>
          <w:rFonts w:ascii="Consolas" w:hAnsi="Consolas"/>
          <w:b/>
          <w:color w:val="2F7038"/>
          <w:sz w:val="19"/>
        </w:rPr>
        <w:t>S = 10 × C × K; 100 правильных ответов = 1000 × K</w:t>
      </w:r>
    </w:p>
    <w:p>
      <w:r>
        <w:t>Время. Влияет только в той мере, в какой оно ограничено экраном; самостоятельного скоростного множителя в формуле нет. При равных баллах порядок определяется опубликованным вторичным критерием дисциплины.</w:t>
      </w:r>
    </w:p>
    <w:p>
      <w:pPr>
        <w:pStyle w:val="Heading2"/>
      </w:pPr>
      <w:r>
        <w:t>3.2. «Ударения»</w:t>
      </w:r>
    </w:p>
    <w:p>
      <w:r>
        <w:t>Материал и действие. Участник вводит слово и указывает ударение. Слово засчитывается только при буквальном совпадении с нормативным ответом. За правильно написанное слово начисляется 1 первичный балл. Ещё 1 балл начисляется за правильное ударение, но только если слово написано верно.</w:t>
      </w:r>
    </w:p>
    <w:p>
      <w:r>
        <w:t>Неверное слово не даёт баллов и не открывает возможность зачесть ударение. Верное слово с неверным ударением даёт 1 балл. Максимум — 300 первичных баллов.</w:t>
      </w:r>
    </w:p>
    <w:p>
      <w:pPr>
        <w:spacing w:before="40" w:after="120"/>
        <w:jc w:val="center"/>
      </w:pPr>
      <w:r>
        <w:rPr>
          <w:rFonts w:ascii="Consolas" w:hAnsi="Consolas"/>
          <w:b/>
          <w:color w:val="2F7038"/>
          <w:sz w:val="19"/>
        </w:rPr>
        <w:t>S = (1000 × P ÷ 300) × K</w:t>
      </w:r>
    </w:p>
    <w:p>
      <w:pPr>
        <w:pStyle w:val="Heading2"/>
      </w:pPr>
      <w:r>
        <w:t>3.3. «Фильмы»</w:t>
      </w:r>
    </w:p>
    <w:p>
      <w:r>
        <w:t>Материал и действие. Участник воспроизводит связи из утверждённой базы фильмов в порядке и формате, указанном экраном. Первичные баллы начисляются за элементы, прямо предусмотренные текущим паспортом попытки (в том числе за фильм и связанную с ним информацию, если она запрошена). Максимум — 300 первичных баллов.</w:t>
      </w:r>
    </w:p>
    <w:p>
      <w:pPr>
        <w:spacing w:before="40" w:after="120"/>
        <w:jc w:val="center"/>
      </w:pPr>
      <w:r>
        <w:rPr>
          <w:rFonts w:ascii="Consolas" w:hAnsi="Consolas"/>
          <w:b/>
          <w:color w:val="2F7038"/>
          <w:sz w:val="19"/>
        </w:rPr>
        <w:t>S = (1000 × P ÷ 300) × K</w:t>
      </w:r>
    </w:p>
    <w:p>
      <w:r>
        <w:t>Время припоминания ограничено интерфейсом. Самостоятельный скоростной множитель не применяется: соревнование поощряет точное воспроизведение полного набора связей.</w:t>
      </w:r>
    </w:p>
    <w:p>
      <w:pPr>
        <w:pStyle w:val="Heading2"/>
      </w:pPr>
      <w:r>
        <w:t>3.4. «Красная книга»</w:t>
      </w:r>
    </w:p>
    <w:p>
      <w:r>
        <w:t>Материал и действие. Участник соотносит изображение и точное название животного из базы Красной книги. Каждый правильный ответ даёт 1 балл; неверный ответ не засчитывается. Для максимального коэффициента объёма требуется 300 правильных ответов за одну попытку.</w:t>
      </w:r>
    </w:p>
    <w:p>
      <w:r>
        <w:t>Время. Запоминание не входит в формулу. В попытке действует фиксированное время припоминания; поэтому скорость выражается числом правильных ответов, введённых в пределах всего отведённого времени. Отдельно сокращать время попытки для повышения балла не требуется.</w:t>
      </w:r>
    </w:p>
    <w:p>
      <w:pPr>
        <w:spacing w:before="40" w:after="120"/>
        <w:jc w:val="center"/>
      </w:pPr>
      <w:r>
        <w:rPr>
          <w:rFonts w:ascii="Consolas" w:hAnsi="Consolas"/>
          <w:b/>
          <w:color w:val="2F7038"/>
          <w:sz w:val="19"/>
        </w:rPr>
        <w:t>S = (1000 × C ÷ 300) × K</w:t>
      </w:r>
    </w:p>
    <w:p>
      <w:r>
        <w:t>Размер базы. База считается целиком по фактическому числу элементов. K рассчитывается от всего объёма базы, а не от выбранного в одной попытке поднабора.</w:t>
      </w:r>
    </w:p>
    <w:p>
      <w:pPr>
        <w:pStyle w:val="Heading2"/>
      </w:pPr>
      <w:r>
        <w:t>3.5. «Таблица Менделеева»</w:t>
      </w:r>
    </w:p>
    <w:p>
      <w:r>
        <w:t>Материал и действие. Участник воспроизводит периодическую таблицу. Правильность каждого из 118 элементов проверяется отдельно. Если таблица неполная, скорость не влияет на балл: важен только объём правильно воспроизведённого материала.</w:t>
      </w:r>
    </w:p>
    <w:p>
      <w:pPr>
        <w:spacing w:before="40" w:after="120"/>
        <w:jc w:val="center"/>
      </w:pPr>
      <w:r>
        <w:rPr>
          <w:rFonts w:ascii="Consolas" w:hAnsi="Consolas"/>
          <w:b/>
          <w:color w:val="2F7038"/>
          <w:sz w:val="19"/>
        </w:rPr>
        <w:t>если C &lt; 118: S = 2 × C</w:t>
      </w:r>
    </w:p>
    <w:p>
      <w:r>
        <w:t>Таким образом, полный объём за 20 минут (1200 секунд) образует высшую точку неполной части — 236 баллов. При полной таблице C = 118 включается скоростная часть формулы.</w:t>
      </w:r>
    </w:p>
    <w:p>
      <w:pPr>
        <w:spacing w:before="40" w:after="120"/>
        <w:jc w:val="center"/>
      </w:pPr>
      <w:r>
        <w:rPr>
          <w:rFonts w:ascii="Consolas" w:hAnsi="Consolas"/>
          <w:b/>
          <w:color w:val="2F7038"/>
          <w:sz w:val="19"/>
        </w:rPr>
        <w:t>если C = 118: S = 236 + 764 × (1200 − T) ÷ 1080</w:t>
      </w:r>
    </w:p>
    <w:p>
      <w:r>
        <w:t>При T = 1200 сек результат равен 236, при T = 120 сек — 1000. Если таблица воспроизведена быстрее 120 секунд, результат может превышать 1000 и не ограничивается сверху. K к этой дисциплине не применяется.</w:t>
      </w:r>
    </w:p>
    <w:p>
      <w:pPr>
        <w:pStyle w:val="Heading2"/>
      </w:pPr>
      <w:r>
        <w:t>3.6. «Картины»</w:t>
      </w:r>
    </w:p>
    <w:p>
      <w:r>
        <w:t>Материал и действие. Участник воспроизводит связь изображения картины и её точного наименования из утверждённой базы. Каждая правильная связь даёт 1 балл. Для максимального коэффициента объёма требуется 300 правильных ответов за одну попытку.</w:t>
      </w:r>
    </w:p>
    <w:p>
      <w:r>
        <w:t>Время. Как и в «Красной книге», учитывается количество правильных ответов, введённых за полное фиксированное время припоминания; время запоминания не влияет на формулу.</w:t>
      </w:r>
    </w:p>
    <w:p>
      <w:pPr>
        <w:spacing w:before="40" w:after="120"/>
        <w:jc w:val="center"/>
      </w:pPr>
      <w:r>
        <w:rPr>
          <w:rFonts w:ascii="Consolas" w:hAnsi="Consolas"/>
          <w:b/>
          <w:color w:val="2F7038"/>
          <w:sz w:val="19"/>
        </w:rPr>
        <w:t>S = (1000 × C ÷ 300) × K</w:t>
      </w:r>
    </w:p>
    <w:p>
      <w:r>
        <w:t>Точность наименований. В ключе базы используется одно утверждённое русское название. Технические коды, инвентарные номера, английские названия и неутверждённые варианты не являются самостоятельными ответами, если они не включены в ключ как допустимые синонимы.</w:t>
      </w:r>
    </w:p>
    <w:p>
      <w:pPr>
        <w:pStyle w:val="Heading2"/>
      </w:pPr>
      <w:r>
        <w:t>3.7. «Прикладная колода»</w:t>
      </w:r>
    </w:p>
    <w:p>
      <w:r>
        <w:t>Материал и действие. База содержит 52 пары: карта личности и соответствующий артефакт. В дисциплине оценивается число артефактов на правильных позициях при воспроизведении всей колоды. Для допуска к спортивной попытке требуется освоить не менее 50% базы; интерфейс показывает процент освоения и ссылку на обучение.</w:t>
      </w:r>
    </w:p>
    <w:p>
      <w:r>
        <w:t>Полная колода. При 52 правильных позициях балл зависит от времени запоминания T в секундах. Стандарт 1000 баллов соответствует 60 секундам; более быстрый полный результат может превышать 1000.</w:t>
      </w:r>
    </w:p>
    <w:p>
      <w:pPr>
        <w:spacing w:before="40" w:after="120"/>
        <w:jc w:val="center"/>
      </w:pPr>
      <w:r>
        <w:rPr>
          <w:rFonts w:ascii="Consolas" w:hAnsi="Consolas"/>
          <w:b/>
          <w:color w:val="2F7038"/>
          <w:sz w:val="19"/>
        </w:rPr>
        <w:t>если C = 52: S = (1000 × 60 ÷ T) × K</w:t>
      </w:r>
    </w:p>
    <w:p>
      <w:r>
        <w:t>Неполная колода. До полного результата главным остаётся число правильных позиций; время не должно давать высокий балл за малый объём.</w:t>
      </w:r>
    </w:p>
    <w:p>
      <w:pPr>
        <w:spacing w:before="40" w:after="120"/>
        <w:jc w:val="center"/>
      </w:pPr>
      <w:r>
        <w:rPr>
          <w:rFonts w:ascii="Consolas" w:hAnsi="Consolas"/>
          <w:b/>
          <w:color w:val="2F7038"/>
          <w:sz w:val="19"/>
        </w:rPr>
        <w:t>если C &lt; 52: S = (1000 × 60 × C ÷ (300 × 52)) × K</w:t>
      </w:r>
    </w:p>
    <w:p>
      <w:r>
        <w:t>Время припоминания не увеличивает балл; в карточке и результате отдельно отображаются время запоминания, время припоминания, правильные позиции и K.</w:t>
      </w:r>
    </w:p>
    <w:p>
      <w:pPr>
        <w:pStyle w:val="Heading1"/>
      </w:pPr>
      <w:r>
        <w:t>4. Второй этап: дисциплины</w:t>
      </w:r>
    </w:p>
    <w:p>
      <w:r>
        <w:t>4.1. Во втором этапе используются «Цифры», «Карты» и «Слова». Конкретные объём, лимиты фаз и формат ввода публикуются на экране официальной попытки до её начала. Участник выполняет попытку с обязательной непрерывной видеозаписью.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BD2B4"/>
          <w:left w:val="single" w:sz="6" w:space="0" w:color="BBD2B4"/>
          <w:bottom w:val="single" w:sz="6" w:space="0" w:color="BBD2B4"/>
          <w:right w:val="single" w:sz="6" w:space="0" w:color="BBD2B4"/>
          <w:insideH w:val="single" w:sz="6" w:space="0" w:color="BBD2B4"/>
          <w:insideV w:val="single" w:sz="6" w:space="0" w:color="BBD2B4"/>
        </w:tblBorders>
      </w:tblPr>
      <w:tblGrid>
        <w:gridCol w:w="3390"/>
        <w:gridCol w:w="3390"/>
        <w:gridCol w:w="3390"/>
      </w:tblGrid>
      <w:tr>
        <w:trPr>
          <w:tblHeader w:val="true"/>
          <w:cantSplit/>
        </w:trPr>
        <w:tc>
          <w:tcPr>
            <w:tcW w:type="dxa" w:w="1757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Дисциплина</w:t>
            </w:r>
          </w:p>
        </w:tc>
        <w:tc>
          <w:tcPr>
            <w:tcW w:type="dxa" w:w="4252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Что оценивается</w:t>
            </w:r>
          </w:p>
        </w:tc>
        <w:tc>
          <w:tcPr>
            <w:tcW w:type="dxa" w:w="3175"/>
            <w:shd w:fill="2F703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Порядок места</w:t>
            </w:r>
          </w:p>
        </w:tc>
      </w:tr>
      <w:tr>
        <w:trPr>
          <w:cantSplit/>
        </w:trPr>
        <w:tc>
          <w:tcPr>
            <w:tcW w:type="dxa" w:w="17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Цифры</w:t>
            </w:r>
          </w:p>
        </w:tc>
        <w:tc>
          <w:tcPr>
            <w:tcW w:type="dxa" w:w="42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Число правильных цифр/блоков в утверждённом порядке.</w:t>
            </w:r>
          </w:p>
        </w:tc>
        <w:tc>
          <w:tcPr>
            <w:tcW w:type="dxa" w:w="317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Больше правильных; при равенстве — меньше времени запоминания.</w:t>
            </w:r>
          </w:p>
        </w:tc>
      </w:tr>
      <w:tr>
        <w:trPr>
          <w:cantSplit/>
        </w:trPr>
        <w:tc>
          <w:tcPr>
            <w:tcW w:type="dxa" w:w="17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Карты</w:t>
            </w:r>
          </w:p>
        </w:tc>
        <w:tc>
          <w:tcPr>
            <w:tcW w:type="dxa" w:w="42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Число правильно воспроизведённых карт или позиций.</w:t>
            </w:r>
          </w:p>
        </w:tc>
        <w:tc>
          <w:tcPr>
            <w:tcW w:type="dxa" w:w="317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7FAF5"/>
          </w:tcPr>
          <w:p>
            <w:pPr>
              <w:spacing w:after="0"/>
            </w:pPr>
            <w:r>
              <w:rPr>
                <w:sz w:val="17"/>
              </w:rPr>
              <w:t>Больше правильных; при равенстве — меньше времени запоминания.</w:t>
            </w:r>
          </w:p>
        </w:tc>
      </w:tr>
      <w:tr>
        <w:trPr>
          <w:cantSplit/>
        </w:trPr>
        <w:tc>
          <w:tcPr>
            <w:tcW w:type="dxa" w:w="17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Слова</w:t>
            </w:r>
          </w:p>
        </w:tc>
        <w:tc>
          <w:tcPr>
            <w:tcW w:type="dxa" w:w="42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Число правильно воспроизведённых слов в утверждённом порядке.</w:t>
            </w:r>
          </w:p>
        </w:tc>
        <w:tc>
          <w:tcPr>
            <w:tcW w:type="dxa" w:w="317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sz w:val="17"/>
              </w:rPr>
              <w:t>Больше правильных; при равенстве — меньше времени запоминания.</w:t>
            </w:r>
          </w:p>
        </w:tc>
      </w:tr>
    </w:tbl>
    <w:p>
      <w:pPr>
        <w:spacing w:after="0"/>
      </w:pPr>
    </w:p>
    <w:p>
      <w:r>
        <w:t>4.2. Место в дисциплине становится рейтинговыми баллами второго этапа: 1-е место — 1 балл, 2-е — 2 и далее. Формула и два бонуса первого этапа приведены в Правилах; Реестр не заменяет порядок квалификации.</w:t>
      </w:r>
    </w:p>
    <w:p>
      <w:pPr>
        <w:pStyle w:val="Heading1"/>
      </w:pPr>
      <w:r>
        <w:t>5. Третий этап: пул и формат</w:t>
      </w:r>
    </w:p>
    <w:p>
      <w:r>
        <w:t>5.1. Пул групповой гонки и дуэлей составляют дисциплины «Мнеморандума»: «Имена и лица», «Вымышленные иностранные слова», «Логин-пароль», «Цифры на слух», «Цифры», «Вымышленные страны» и «Изображения». Параметры конкретного задания объявляются всем участникам до старта раунда.</w:t>
      </w:r>
    </w:p>
    <w:p>
      <w:r>
        <w:t>5.2. В пределах одного цикла каждая дисциплина используется один раз. Право выбора и порядок очереди определяются Правилами. При использовании секретной дисциплины до её старта всем одновременно раскрываются правила, пример, критерий правильности и порядок подсчёта, после чего предоставляется пять минут на подготовку.</w:t>
      </w:r>
    </w:p>
    <w:p>
      <w:r>
        <w:t>5.3. В групповой гонке очки начисляются от фактического числа участников раунда: N, N−1, …, 1. Первые три раунда проходят без выбывания; с четвёртого после каждого раунда выбывает последний по накопленным очкам. В дуэлях победа в матче достигается тремя победами в дисциплинах, не более пяти основных дисциплин.</w:t>
      </w:r>
    </w:p>
    <w:p>
      <w:pPr>
        <w:pStyle w:val="Heading1"/>
      </w:pPr>
      <w:r>
        <w:t>6. Единые процедуры попытки и проверки</w:t>
      </w:r>
    </w:p>
    <w:p>
      <w:pPr>
        <w:pStyle w:val="ListBullet"/>
      </w:pPr>
      <w:r>
        <w:t>Перед началом экран показывает материал, обратный отсчёт при наличии подготовительной фазы и серверный таймер.</w:t>
      </w:r>
    </w:p>
    <w:p>
      <w:pPr>
        <w:pStyle w:val="ListBullet"/>
      </w:pPr>
      <w:r>
        <w:t>Любое принудительное обновление, уход назад или выход из активной попытки требует подтверждения; завершение по лимиту времени фиксируется автоматически.</w:t>
      </w:r>
    </w:p>
    <w:p>
      <w:pPr>
        <w:pStyle w:val="ListBullet"/>
      </w:pPr>
      <w:r>
        <w:t>После попытки отображаются правильные ответы и показатели, предусмотренные дисциплиной; результаты подлежат автоматической и судейской проверке.</w:t>
      </w:r>
    </w:p>
    <w:p>
      <w:pPr>
        <w:pStyle w:val="ListBullet"/>
      </w:pPr>
      <w:r>
        <w:t>При установленной технической ошибке Организатор исправляет результат, а при невозможности равной проверки назначает нейтральную процедуру или переигровку по Правилам.</w:t>
      </w:r>
    </w:p>
    <w:p>
      <w:pPr>
        <w:pStyle w:val="Heading1"/>
      </w:pPr>
      <w:r>
        <w:t>7. Заключительное положение</w:t>
      </w:r>
    </w:p>
    <w:p>
      <w:r>
        <w:t>7.1. Документ подготовлен как редактируемая версия без подписи и печати. Финальная утверждённая копия может содержать реквизиты, подпись уполномоченного лица и печать Федерации без изменения содержательных правил.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35" w:right="907" w:bottom="879" w:left="1162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66705F"/>
        <w:sz w:val="16"/>
      </w:rPr>
      <w:t xml:space="preserve">III Национальный онлайн-турнир по мнемоспорту · Реестр дисциплин · </w:t>
    </w:r>
    <w:r>
      <w:rPr>
        <w:color w:val="66705F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 w:eastAsia="Aptos"/>
      <w:color w:val="1F2B2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2F70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2F703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2F703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2F703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