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1000"/>
        <w:jc w:val="center"/>
      </w:pPr>
      <w:r>
        <w:rPr>
          <w:rFonts w:ascii="Aptos" w:hAnsi="Aptos"/>
          <w:b/>
          <w:color w:val="2F7038"/>
          <w:sz w:val="22"/>
        </w:rPr>
        <w:t>МЕЖРЕГИОНАЛЬНАЯ ОБЩЕСТВЕННАЯ ОРГАНИЗАЦИЯ</w:t>
        <w:br/>
        <w:t>«ФЕДЕРАЦИЯ МНЕМОСПОРТА»</w:t>
      </w:r>
    </w:p>
    <w:p>
      <w:pPr>
        <w:spacing w:before="800"/>
        <w:jc w:val="center"/>
      </w:pPr>
      <w:r>
        <w:rPr>
          <w:rFonts w:ascii="Aptos Display" w:hAnsi="Aptos Display"/>
          <w:b/>
          <w:color w:val="1F2B21"/>
          <w:sz w:val="50"/>
        </w:rPr>
        <w:t>ПРАВИЛА</w:t>
      </w:r>
    </w:p>
    <w:p>
      <w:pPr>
        <w:jc w:val="center"/>
      </w:pPr>
      <w:r>
        <w:rPr>
          <w:color w:val="2F7038"/>
          <w:sz w:val="26"/>
        </w:rPr>
        <w:t>III Национального онлайн-турнира по мнемоспорту</w:t>
      </w:r>
    </w:p>
    <w:p>
      <w:pPr>
        <w:spacing w:before="1100"/>
        <w:jc w:val="center"/>
      </w:pPr>
      <w:r>
        <w:rPr>
          <w:color w:val="66705F"/>
          <w:sz w:val="21"/>
        </w:rPr>
        <w:t>Редакция от 1 сентября 2026 года</w:t>
        <w:br/>
        <w:t>Рабочая редактируемая версия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D7B2"/>
          <w:left w:val="single" w:sz="6" w:space="0" w:color="B9D7B2"/>
          <w:bottom w:val="single" w:sz="6" w:space="0" w:color="B9D7B2"/>
          <w:right w:val="single" w:sz="6" w:space="0" w:color="B9D7B2"/>
          <w:insideH w:val="single" w:sz="6" w:space="0" w:color="B9D7B2"/>
          <w:insideV w:val="single" w:sz="6" w:space="0" w:color="B9D7B2"/>
        </w:tblBorders>
      </w:tblPr>
      <w:tblGrid>
        <w:gridCol w:w="10171"/>
      </w:tblGrid>
      <w:tr>
        <w:tc>
          <w:tcPr>
            <w:tcW w:type="dxa" w:w="10171"/>
            <w:shd w:fill="EDF5EA"/>
            <w:tcMar>
              <w:top w:w="160" w:type="dxa"/>
              <w:start w:w="170" w:type="dxa"/>
              <w:bottom w:w="160" w:type="dxa"/>
              <w:end w:w="170" w:type="dxa"/>
            </w:tcMar>
          </w:tcPr>
          <w:p>
            <w:r>
              <w:rPr>
                <w:b/>
                <w:color w:val="2F7038"/>
              </w:rPr>
              <w:t xml:space="preserve">Назначение документа. </w:t>
            </w:r>
            <w:r>
              <w:t>Правила описывают порядок участия, три этапа Турнира, квалификацию, рейтинг, контроль и защиту результатов. Карточки дисциплин и формулы первого этапа приведены в отдельном Реестре.</w:t>
            </w:r>
          </w:p>
        </w:tc>
      </w:tr>
    </w:tbl>
    <w:p>
      <w:pPr>
        <w:spacing w:after="0"/>
      </w:pPr>
    </w:p>
    <w:p>
      <w:pPr>
        <w:pStyle w:val="1"/>
      </w:pPr>
      <w:r>
        <w:t>1. Общие положения</w:t>
      </w:r>
    </w:p>
    <w:p>
      <w:r>
        <w:t>1.1. III Национальный онлайн-турнир по мнемоспорту (далее — Турнир) проводится Межрегиональной общественной организацией «Федерация Мнемоспорта» (далее — Организатор) на цифровой платформе memoryman.ru.</w:t>
      </w:r>
    </w:p>
    <w:p>
      <w:r>
        <w:t>1.2. Турнир проводится в три связанных этапа: первый этап — открытый квалификационный; второй этап — основной отбор; третий этап — живая групповая гонка, полуфиналы, финал и матч за третье место.</w:t>
      </w:r>
    </w:p>
    <w:p>
      <w:r>
        <w:t>1.3. Настоящие Правила применяются вместе с Единым реестром дисциплин мнемоспорта, опубликованными техническими инструкциями, условиями обработки персональных данных и экранными условиями конкретной попытки. При расхождении приоритет имеют настоящие Правила, затем паспорт дисциплины, затем экранные параметры попытки.</w:t>
      </w:r>
    </w:p>
    <w:p>
      <w:pPr>
        <w:pStyle w:val="1"/>
      </w:pPr>
      <w:r>
        <w:t>2. Термины</w:t>
      </w:r>
    </w:p>
    <w:tbl>
      <w:tblPr>
        <w:tblStyle w:val="aff0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BD2B4"/>
          <w:left w:val="single" w:sz="6" w:space="0" w:color="BBD2B4"/>
          <w:bottom w:val="single" w:sz="6" w:space="0" w:color="BBD2B4"/>
          <w:right w:val="single" w:sz="6" w:space="0" w:color="BBD2B4"/>
          <w:insideH w:val="single" w:sz="6" w:space="0" w:color="BBD2B4"/>
          <w:insideV w:val="single" w:sz="6" w:space="0" w:color="BBD2B4"/>
        </w:tblBorders>
      </w:tblPr>
      <w:tblGrid>
        <w:gridCol w:w="5085"/>
        <w:gridCol w:w="5085"/>
      </w:tblGrid>
      <w:tr>
        <w:trPr>
          <w:tblHeader w:val="true"/>
          <w:cantSplit/>
        </w:trPr>
        <w:tc>
          <w:tcPr>
            <w:tcW w:type="dxa" w:w="2381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Термин</w:t>
            </w:r>
          </w:p>
        </w:tc>
        <w:tc>
          <w:tcPr>
            <w:tcW w:type="dxa" w:w="7257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38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База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Набор карточек, слов, изображений или иных элементов, предусмотренный паспортом дисциплины.</w:t>
            </w:r>
          </w:p>
        </w:tc>
      </w:tr>
      <w:tr>
        <w:trPr>
          <w:cantSplit/>
        </w:trPr>
        <w:tc>
          <w:tcPr>
            <w:tcW w:type="dxa" w:w="238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Освоенность базы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Доля элементов базы, по которым у участника зафиксирован правильный актуальный ответ; определяется в порядке, указанном в Реестре.</w:t>
            </w:r>
          </w:p>
        </w:tc>
      </w:tr>
      <w:tr>
        <w:trPr>
          <w:cantSplit/>
        </w:trPr>
        <w:tc>
          <w:tcPr>
            <w:tcW w:type="dxa" w:w="238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Подтверждённая попытка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Попытка, прошедшая автоматическую и, при необходимости, судейскую проверку и включённая в зачёт.</w:t>
            </w:r>
          </w:p>
        </w:tc>
      </w:tr>
      <w:tr>
        <w:trPr>
          <w:cantSplit/>
        </w:trPr>
        <w:tc>
          <w:tcPr>
            <w:tcW w:type="dxa" w:w="238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Первичные баллы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Правильные ответы, позиции либо иные исходные показатели до перевода в тысячебалльный стандарт.</w:t>
            </w:r>
          </w:p>
        </w:tc>
      </w:tr>
      <w:tr>
        <w:trPr>
          <w:cantSplit/>
        </w:trPr>
        <w:tc>
          <w:tcPr>
            <w:tcW w:type="dxa" w:w="238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Турнирный балл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Результат дисциплины после применения утверждённой формулы и, где предусмотрено, коэффициента освоенности.</w:t>
            </w:r>
          </w:p>
        </w:tc>
      </w:tr>
      <w:tr>
        <w:trPr>
          <w:cantSplit/>
        </w:trPr>
        <w:tc>
          <w:tcPr>
            <w:tcW w:type="dxa" w:w="238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Категория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Соревновательная группа: «Новички», «Любители» или «Профессионалы».</w:t>
            </w:r>
          </w:p>
        </w:tc>
      </w:tr>
    </w:tbl>
    <w:p>
      <w:pPr>
        <w:spacing w:after="0"/>
      </w:pPr>
    </w:p>
    <w:p>
      <w:pPr>
        <w:pStyle w:val="1"/>
      </w:pPr>
      <w:r>
        <w:t>3. Цели и принципы</w:t>
      </w:r>
    </w:p>
    <w:p>
      <w:pPr>
        <w:pStyle w:val="a0"/>
      </w:pPr>
      <w:r>
        <w:t>выявление и развитие навыков запоминания и воспроизведения информации;</w:t>
      </w:r>
    </w:p>
    <w:p>
      <w:pPr>
        <w:pStyle w:val="a0"/>
      </w:pPr>
      <w:r>
        <w:t>сопоставимость разных дисциплин через утверждённый тысячебалльный стандарт;</w:t>
      </w:r>
    </w:p>
    <w:p>
      <w:pPr>
        <w:pStyle w:val="a0"/>
      </w:pPr>
      <w:r>
        <w:t>равенство условий, проверяемость попыток и приоритет спортивного результата;</w:t>
      </w:r>
    </w:p>
    <w:p>
      <w:pPr>
        <w:pStyle w:val="a0"/>
      </w:pPr>
      <w:r>
        <w:t>поощрение реального освоения баз, а не случайного быстрого ввода.</w:t>
      </w:r>
    </w:p>
    <w:p>
      <w:pPr>
        <w:pStyle w:val="1"/>
      </w:pPr>
      <w:r>
        <w:t>4. Организатор, судейство и решения</w:t>
      </w:r>
    </w:p>
    <w:p>
      <w:r>
        <w:t>4.1. Организатор утверждает календарь, публикует дисциплины, назначает главного судью и обеспечивает техническую площадку. Главный судья проверяет спорные результаты, принимает решения о переигровке, техническом сбое, нарушении и окончательном протоколе.</w:t>
      </w:r>
    </w:p>
    <w:p>
      <w:r>
        <w:t>4.2. Автоматический расчёт платформы является предварительным до завершения предусмотренной проверки. Исправление очевидной счётной или технической ошибки допускается до публикации окончательного протокола.</w:t>
      </w:r>
    </w:p>
    <w:p>
      <w:pPr>
        <w:pStyle w:val="1"/>
      </w:pPr>
      <w:r>
        <w:t>5. Регистрация, допуск и категории</w:t>
      </w:r>
    </w:p>
    <w:p>
      <w:r>
        <w:t>5.1. Регистрация открыта с 16 августа 2026 года, 00:00 МСК, и заканчивается 17 сентября 2026 года, 18:00 МСК. Участник указывает достоверные сведения, создаёт личный кабинет и принимает обязательные условия участия.</w:t>
      </w:r>
    </w:p>
    <w:p>
      <w:r>
        <w:t>5.2. К участию допускаются граждане Российской Федерации независимо от места проживания, иностранные граждане и лица без гражданства, проживающие в России, а также проживающие за рубежом лица, относящие себя к российской культуре и владеющие русским языком в объёме, достаточном для выполнения заданий.</w:t>
      </w:r>
    </w:p>
    <w:p>
      <w:r>
        <w:t>5.3. Участники распределяются по категориям «Новички», «Любители» и «Профессионалы». Организатор вправе уточнить категорию до начала соответствующего этапа при выявлении ошибки, недостоверных сведений или существенного несоответствия заявленному уровню.</w:t>
      </w:r>
    </w:p>
    <w:p>
      <w:r>
        <w:t>5.4. Несовершеннолетний допускается после подтверждения законного представителя. Статус заявки и обязательных согласий проверяется сервером перед открытием турнирной попытки.</w:t>
      </w:r>
    </w:p>
    <w:p>
      <w:pPr>
        <w:pStyle w:val="1"/>
      </w:pPr>
      <w:r>
        <w:t>6. Этапы, расчёт и продвижение</w:t>
      </w:r>
    </w:p>
    <w:p>
      <w:pPr>
        <w:pStyle w:val="21"/>
      </w:pPr>
      <w:r>
        <w:t>6.1. Календарь</w:t>
      </w:r>
    </w:p>
    <w:tbl>
      <w:tblPr>
        <w:tblStyle w:val="aff0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BD2B4"/>
          <w:left w:val="single" w:sz="6" w:space="0" w:color="BBD2B4"/>
          <w:bottom w:val="single" w:sz="6" w:space="0" w:color="BBD2B4"/>
          <w:right w:val="single" w:sz="6" w:space="0" w:color="BBD2B4"/>
          <w:insideH w:val="single" w:sz="6" w:space="0" w:color="BBD2B4"/>
          <w:insideV w:val="single" w:sz="6" w:space="0" w:color="BBD2B4"/>
        </w:tblBorders>
      </w:tblPr>
      <w:tblGrid>
        <w:gridCol w:w="3390"/>
        <w:gridCol w:w="3390"/>
        <w:gridCol w:w="3390"/>
      </w:tblGrid>
      <w:tr>
        <w:trPr>
          <w:tblHeader w:val="true"/>
          <w:cantSplit/>
        </w:trPr>
        <w:tc>
          <w:tcPr>
            <w:tcW w:type="dxa" w:w="2268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Этап</w:t>
            </w:r>
          </w:p>
        </w:tc>
        <w:tc>
          <w:tcPr>
            <w:tcW w:type="dxa" w:w="2948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Срок</w:t>
            </w:r>
          </w:p>
        </w:tc>
        <w:tc>
          <w:tcPr>
            <w:tcW w:type="dxa" w:w="4422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Формат</w:t>
            </w:r>
          </w:p>
        </w:tc>
      </w:tr>
      <w:tr>
        <w:trPr>
          <w:cantSplit/>
        </w:trPr>
        <w:tc>
          <w:tcPr>
            <w:tcW w:type="dxa" w:w="22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I. Квалификационный</w:t>
            </w:r>
          </w:p>
        </w:tc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14 сентября, 09:00 — 20 сентября, 12:00 МСК</w:t>
            </w:r>
          </w:p>
        </w:tc>
        <w:tc>
          <w:tcPr>
            <w:tcW w:type="dxa" w:w="442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Семь дисциплин на платформе.</w:t>
            </w:r>
          </w:p>
        </w:tc>
      </w:tr>
      <w:tr>
        <w:trPr>
          <w:cantSplit/>
        </w:trPr>
        <w:tc>
          <w:tcPr>
            <w:tcW w:type="dxa" w:w="22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II. Основной отбор</w:t>
            </w:r>
          </w:p>
        </w:tc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21 сентября, 09:00 — 26 сентября, 12:00 МСК</w:t>
            </w:r>
          </w:p>
        </w:tc>
        <w:tc>
          <w:tcPr>
            <w:tcW w:type="dxa" w:w="442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Цифры, карты и слова; подтверждённые видеозаписью попытки.</w:t>
            </w:r>
          </w:p>
        </w:tc>
      </w:tr>
      <w:tr>
        <w:trPr>
          <w:cantSplit/>
        </w:trPr>
        <w:tc>
          <w:tcPr>
            <w:tcW w:type="dxa" w:w="22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III. Живой финальный этап</w:t>
            </w:r>
          </w:p>
        </w:tc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29 сентября — 4 октября 2026 года</w:t>
            </w:r>
          </w:p>
        </w:tc>
        <w:tc>
          <w:tcPr>
            <w:tcW w:type="dxa" w:w="442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Гонка шести, полуфиналы, финал и матч за третье место.</w:t>
            </w:r>
          </w:p>
        </w:tc>
      </w:tr>
    </w:tbl>
    <w:p>
      <w:pPr>
        <w:spacing w:after="0"/>
      </w:pPr>
    </w:p>
    <w:p>
      <w:pPr>
        <w:pStyle w:val="21"/>
      </w:pPr>
      <w:r>
        <w:t>6.2. Первый этап: программа и зачёт</w:t>
      </w:r>
    </w:p>
    <w:p>
      <w:r>
        <w:t>6.2.1. В программу входят «Спасибо», «Ударения», «Фильмы», «Красная книга», «Таблица Менделеева», «Картины» и «Прикладная колода». Участник может выполнить несколько попыток в пределах окна этапа; в рейтинг каждой дисциплины включается его лучший подтверждённый турнирный балл.</w:t>
      </w:r>
    </w:p>
    <w:p>
      <w:r>
        <w:t>6.2.2. Формулы, объём баз, лимиты времени и критерии правильности приведены в Реестре. Во всех дисциплинах, кроме «Таблицы Менделеева», после пересчёта первичного показателя применяется коэффициент освоенности K. Для «Таблицы Менделеева» K не применяется: сама дисциплина проверяет полноту и точность знания таблицы.</w:t>
      </w:r>
    </w:p>
    <w:p>
      <w:r>
        <w:t>6.2.3. K равен доле освоенных элементов соответствующей базы от 0 до 1. Освоение подтверждается в изучаемой базе либо зафиксированными правильными ответами в турнирных попытках; неверный актуальный ответ исключает элемент из освоенных. Для применения в следующем этапе данные первого этапа фиксируются на момент его закрытия.</w:t>
      </w:r>
    </w:p>
    <w:p>
      <w:r>
        <w:t>6.2.4. Итог первого этапа в каждой категории определяется по сумме лучших турнирных баллов по всем семи дисциплинам. Невыполненная дисциплина приносит 0 баллов. При равенстве выше располагается участник с большим числом первых мест в дисциплинарных рейтингах, затем — с большим числом вторых мест и далее последовательно; при сохранении равенства места признаются равными либо применяется заранее объявленный нейтральный критерий.</w:t>
      </w:r>
    </w:p>
    <w:p>
      <w:r>
        <w:t>6.2.5. Ко второму этапу допускаются все участники, выполнившие не менее трёх дисциплин первого этапа и соблюдающие условия допуска. Первый этап используется для определения категории, фиксации бонусов и ранжирования, но не является отсевом по суммарному баллу.</w:t>
      </w:r>
    </w:p>
    <w:p>
      <w:pPr>
        <w:pStyle w:val="21"/>
      </w:pPr>
      <w:r>
        <w:t>6.3. Второй этап: дисциплины и базовый результат</w:t>
      </w:r>
    </w:p>
    <w:p>
      <w:r>
        <w:t>6.3.1. Второй этап включает дисциплины «Цифры», «Карты» и «Слова». В пределах окна допускается неограниченное число попыток; к зачёту принимается лучший подтверждённый результат в каждой дисциплине. Непрерывная видеозапись участника и рабочего места прикрепляется к каждой заявленной в зачёт попытке.</w:t>
      </w:r>
    </w:p>
    <w:p>
      <w:r>
        <w:t>6.3.2. В каждой дисциплине участники располагаются по убыванию количества правильных ответов; при равенстве выше тот, кто затратил меньше времени на запоминание. При равенстве обоих показателей участники занимают одно место.</w:t>
      </w:r>
    </w:p>
    <w:p>
      <w:r>
        <w:t>6.3.3. Место в дисциплине равно числу рейтинговых баллов: первое место — 1, второе — 2 и так далее. Базовый результат второго этапа — сумма мест в трёх дисциплинах; меньшее значение лучше.</w:t>
      </w:r>
    </w:p>
    <w:p>
      <w:pPr>
        <w:spacing w:before="40" w:after="120"/>
        <w:jc w:val="center"/>
      </w:pPr>
      <w:r>
        <w:rPr>
          <w:rFonts w:ascii="Consolas" w:hAnsi="Consolas"/>
          <w:b/>
          <w:color w:val="2F7038"/>
          <w:sz w:val="19"/>
        </w:rPr>
        <w:t>stage2_raw = place_numbers + place_cards + place_words</w:t>
      </w:r>
    </w:p>
    <w:p>
      <w:pPr>
        <w:pStyle w:val="21"/>
      </w:pPr>
      <w:r>
        <w:t>6.4. Небольшое влияние первого этапа на итог второго этапа</w:t>
      </w:r>
    </w:p>
    <w:p>
      <w:r>
        <w:t>6.4.1. Второй этап остаётся главным этапом отбора. Первый этап даёт небольшой зафиксированный бонус, который способен компенсировать лишь небольшое отставание. Максимальный общий бонус — 2,00 рейтинговых балла.</w:t>
      </w:r>
    </w:p>
    <w:tbl>
      <w:tblPr>
        <w:tblStyle w:val="aff0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BD2B4"/>
          <w:left w:val="single" w:sz="6" w:space="0" w:color="BBD2B4"/>
          <w:bottom w:val="single" w:sz="6" w:space="0" w:color="BBD2B4"/>
          <w:right w:val="single" w:sz="6" w:space="0" w:color="BBD2B4"/>
          <w:insideH w:val="single" w:sz="6" w:space="0" w:color="BBD2B4"/>
          <w:insideV w:val="single" w:sz="6" w:space="0" w:color="BBD2B4"/>
        </w:tblBorders>
      </w:tblPr>
      <w:tblGrid>
        <w:gridCol w:w="3390"/>
        <w:gridCol w:w="3390"/>
        <w:gridCol w:w="3390"/>
      </w:tblGrid>
      <w:tr>
        <w:trPr>
          <w:tblHeader w:val="true"/>
          <w:cantSplit/>
        </w:trPr>
        <w:tc>
          <w:tcPr>
            <w:tcW w:type="dxa" w:w="1928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Компонент</w:t>
            </w:r>
          </w:p>
        </w:tc>
        <w:tc>
          <w:tcPr>
            <w:tcW w:type="dxa" w:w="4876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Формула</w:t>
            </w:r>
          </w:p>
        </w:tc>
        <w:tc>
          <w:tcPr>
            <w:tcW w:type="dxa" w:w="1701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Предел</w:t>
            </w:r>
          </w:p>
        </w:tc>
      </w:tr>
      <w:tr>
        <w:trPr>
          <w:cantSplit/>
        </w:trPr>
        <w:tc>
          <w:tcPr>
            <w:tcW w:type="dxa" w:w="19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Бонус освоенности</w:t>
            </w:r>
          </w:p>
        </w:tc>
        <w:tc>
          <w:tcPr>
            <w:tcW w:type="dxa" w:w="48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stage1_mastery_percent ÷ 100</w:t>
            </w:r>
          </w:p>
        </w:tc>
        <w:tc>
          <w:tcPr>
            <w:tcW w:type="dxa" w:w="170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от 0 до 1,00</w:t>
            </w:r>
          </w:p>
        </w:tc>
      </w:tr>
      <w:tr>
        <w:trPr>
          <w:cantSplit/>
        </w:trPr>
        <w:tc>
          <w:tcPr>
            <w:tcW w:type="dxa" w:w="19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Бонус за место I этапа</w:t>
            </w:r>
          </w:p>
        </w:tc>
        <w:tc>
          <w:tcPr>
            <w:tcW w:type="dxa" w:w="48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(11 − place_stage1) ÷ 10 для мест 1–10; иначе 0</w:t>
            </w:r>
          </w:p>
        </w:tc>
        <w:tc>
          <w:tcPr>
            <w:tcW w:type="dxa" w:w="170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от 0 до 1,00</w:t>
            </w:r>
          </w:p>
        </w:tc>
      </w:tr>
      <w:tr>
        <w:trPr>
          <w:cantSplit/>
        </w:trPr>
        <w:tc>
          <w:tcPr>
            <w:tcW w:type="dxa" w:w="19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Общий бонус</w:t>
            </w:r>
          </w:p>
        </w:tc>
        <w:tc>
          <w:tcPr>
            <w:tcW w:type="dxa" w:w="48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mastery_bonus + place_bonus</w:t>
            </w:r>
          </w:p>
        </w:tc>
        <w:tc>
          <w:tcPr>
            <w:tcW w:type="dxa" w:w="170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не более 2,00</w:t>
            </w:r>
          </w:p>
        </w:tc>
      </w:tr>
      <w:tr>
        <w:trPr>
          <w:cantSplit/>
        </w:trPr>
        <w:tc>
          <w:tcPr>
            <w:tcW w:type="dxa" w:w="19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Итог II этапа</w:t>
            </w:r>
          </w:p>
        </w:tc>
        <w:tc>
          <w:tcPr>
            <w:tcW w:type="dxa" w:w="48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stage2_raw − total_bonus</w:t>
            </w:r>
          </w:p>
        </w:tc>
        <w:tc>
          <w:tcPr>
            <w:tcW w:type="dxa" w:w="1701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меньше — лучше</w:t>
            </w:r>
          </w:p>
        </w:tc>
      </w:tr>
    </w:tbl>
    <w:p>
      <w:pPr>
        <w:spacing w:after="0"/>
      </w:pPr>
    </w:p>
    <w:p>
      <w:r>
        <w:t>6.4.2. Освоенность учитывает все базы первого этапа, включая непройденные как 0%. Предпочтительный расчёт — число освоенных элементов всех баз, делённое на общее число элементов всех баз. Используются только данные, зафиксированные в момент закрытия первого этапа; последующее обучение их не изменяет.</w:t>
      </w:r>
    </w:p>
    <w:p>
      <w:r>
        <w:t>6.4.3. Промежуточные значения для сортировки не округляются. В рейтинге должны отдельно отображаться сумма мест II этапа, бонус освоенности, бонус за место I этапа, общий бонус и итоговый результат. Для квалификации необходимы подтверждённые результаты во всех трёх дисциплинах; бонус не заменяет пропущенную дисциплину.</w:t>
      </w:r>
    </w:p>
    <w:p>
      <w:r>
        <w:t>6.4.4. При точном равенстве итогового результата последовательно учитываются: меньшая исходная сумма мест второго этапа; больше первых мест во втором этапе; затем больше вторых, третьих и последующих мест; более высокое место первого этапа; затем дополнительная попытка или другой заранее объявленный нейтральный критерий.</w:t>
      </w:r>
    </w:p>
    <w:p>
      <w:pPr>
        <w:pStyle w:val="21"/>
      </w:pPr>
      <w:r>
        <w:t>6.5. Третий этап: квалификация и гонка шести</w:t>
      </w:r>
    </w:p>
    <w:p>
      <w:r>
        <w:t>6.5.1. В каждой категории восемь лучших участников второго этапа проходят в третий этап. Первое и второе места выходят непосредственно в полуфиналы. Места с третьего по восьмое образуют «гонку шести» за две оставшиеся полуфинальные позиции.</w:t>
      </w:r>
    </w:p>
    <w:p>
      <w:r>
        <w:t>6.5.2. Гонка проводится в живом онлайн-режиме на цифровой платформе «Мнеморандум» с обязательными камерой, микрофоном и прямой трансляцией. До общего обратного отсчёта участник проходит проверку связи, отображаемого имени и предзагрузку; фазы задания открываются и завершаются серверным таймером.</w:t>
      </w:r>
    </w:p>
    <w:p>
      <w:r>
        <w:t>6.5.3. Первые три раунда проводятся полным составом без спортивного выбывания. Начиная с четвёртого раунда после каждого раунда выбывает один участник с наименьшей накопленной суммой очков. Гонка заканчивается, когда остаются два участника; они выходят в полуфиналы.</w:t>
      </w:r>
    </w:p>
    <w:p>
      <w:r>
        <w:t>6.5.4. В раунде с N стартовавшими участниками победитель получает N очков, второй — N−1 и далее до 1 очка за последнее место. При равном результате участники получают одинаковое место и очки этого места; следующие места пропускаются. Очки каждого раунда суммируются.</w:t>
      </w:r>
    </w:p>
    <w:p>
      <w:r>
        <w:t>6.5.5. Результаты ранних раундов влияют на последующие только через простую накопленную сумму очков: они не переносятся с повышающим коэффициентом, не гарантируют проход и с каждым следующим раундом занимают меньшую долю общего результата. При равенстве накопленных сумм преимущество имеет участник с большим числом побед в раундах, затем — с более высоким местом второго этапа; при необходимости проводится дополнительная нейтральная дисциплина.</w:t>
      </w:r>
    </w:p>
    <w:p>
      <w:r>
        <w:t>6.5.6. Пул третьего этапа образуют опубликованные дисциплины «Мнеморандума»: «Имена и лица», «Вымышленные иностранные слова», «Логин-пароль», «Цифры на слух», «Цифры», «Вымышленные страны» и «Изображения». Одна дисциплина используется не более одного раза в текущем цикле; после использования полного пула он восстанавливается. Право выбора идёт по местам второго этапа: 3-е, 4-е, 5-е, затем 6-е, 7-е, 8-е и далее по кругу с пропуском выбывших. Конкретный объём и время объявляются всем до старта раунда.</w:t>
      </w:r>
    </w:p>
    <w:p>
      <w:pPr>
        <w:pStyle w:val="21"/>
      </w:pPr>
      <w:r>
        <w:t>6.6. Полуфиналы, финал и матч за третье место</w:t>
      </w:r>
    </w:p>
    <w:p>
      <w:r>
        <w:t>6.6.1. Участник, занявший первое место во втором этапе, встречается в полуфинале с победителем гонки, занявшим более низкое место в гонке; участник со второго места — с другим победителем гонки. Полуфиналы, финал и матч за третье место проводятся как дуэли до трёх побед в дисциплинах, максимум пять основных дисциплин за матч.</w:t>
      </w:r>
    </w:p>
    <w:p>
      <w:r>
        <w:t>6.6.2. В каждом раунде дуэли соперники получают одинаковые задание и параметры. При полном равенстве после основного пула проводится дополнительная дисциплина из доступного пула либо нейтральная переигровка. Технические паузы, очерёдность выбора и состав дисциплин публикуются перед матчем одинаково для обеих сторон.</w:t>
      </w:r>
    </w:p>
    <w:p>
      <w:r>
        <w:t>6.6.3. Результаты второго этапа влияют на третий этап только в прямо указанных правилах: определяют выход, стартовую позицию и используются как тай-брейк при равенстве в гонке. Они не переносят очки в гонку и не дают дополнительных побед в дуэлях.</w:t>
      </w:r>
    </w:p>
    <w:p>
      <w:pPr>
        <w:pStyle w:val="1"/>
      </w:pPr>
      <w:r>
        <w:t>7. Реестр дисциплин</w:t>
      </w:r>
    </w:p>
    <w:p>
      <w:r>
        <w:t>7.1. Единый реестр дисциплин мнемоспорта является неотъемлемым приложением к настоящим Правилам. Он устанавливает материал, последовательность действий, критерии правильности, временные параметры и формулы первого этапа. Изменение формулы после начала дисциплины не допускается.</w:t>
      </w:r>
    </w:p>
    <w:p>
      <w:pPr>
        <w:pStyle w:val="1"/>
      </w:pPr>
      <w:r>
        <w:t>8. Технические требования и сбои</w:t>
      </w:r>
    </w:p>
    <w:p>
      <w:r>
        <w:t>8.1. Участник самостоятельно проверяет совместимый браузер, доступ к интернету, устройство ввода и работу личного кабинета. Для второго и третьего этапов требуются исправные камера и микрофон. Запись второго этапа должна быть непрерывной и позволять проверить участника, руки, клавиатуру и экран без монтажа и засветки.</w:t>
      </w:r>
    </w:p>
    <w:p>
      <w:r>
        <w:t>8.2. При локальном сбое участник незамедлительно сообщает время и дисциплину по официальному каналу. Главный судья изучает серверные журналы и видеозапись. При общем сбое может быть назначен перезапуск, продолжение после устранения причины, изменение расписания или переигровка без создания преимущества.</w:t>
      </w:r>
    </w:p>
    <w:p>
      <w:pPr>
        <w:pStyle w:val="1"/>
      </w:pPr>
      <w:r>
        <w:t>9. Честная игра</w:t>
      </w:r>
    </w:p>
    <w:p>
      <w:r>
        <w:t>9.1. Запрещаются подсказки третьих лиц, шпаргалки, поисковые системы, неразрешённые программы и средства связи, передача задания, выполнение за другого участника, вмешательство в работу платформы и любые способы получения неправомерного преимущества.</w:t>
      </w:r>
    </w:p>
    <w:p>
      <w:r>
        <w:t>9.2. При нарушении судья вправе предупредить, аннулировать попытку, исключить результат, ограничить допуск или дисквалифицировать участника. До существенного решения участнику по возможности предоставляется возможность дать краткое объяснение.</w:t>
      </w:r>
    </w:p>
    <w:p>
      <w:pPr>
        <w:pStyle w:val="1"/>
      </w:pPr>
      <w:r>
        <w:t>10. Видео, протоколы и публикация</w:t>
      </w:r>
    </w:p>
    <w:p>
      <w:r>
        <w:t>10.1. Во втором этапе применяется самостоятельная видеозапись заявленной попытки. В третьем — обязательная прямая трансляция и её запись. Публикуемый протокол может содержать имя, категорию, результат, место, ход этапов и записи в пределах полученных согласий.</w:t>
      </w:r>
    </w:p>
    <w:p>
      <w:r>
        <w:t>10.2. Официальный протокол фиксирует дисциплины, попытки, рейтинг, бонусы, результаты раундов, выбывание, сетку и окончательные места. Контрольные материалы используются для судейства, проверки и рассмотрения обращений.</w:t>
      </w:r>
    </w:p>
    <w:p>
      <w:pPr>
        <w:pStyle w:val="1"/>
      </w:pPr>
      <w:r>
        <w:t>11. Апелляции и изменение Правил</w:t>
      </w:r>
    </w:p>
    <w:p>
      <w:r>
        <w:t>11.1. Обращение направляется в течение 24 часов после публикации результата или персонального решения, если иной специальный срок не опубликован. Оно должно содержать участника, этап или попытку, суть вопроса и требуемое решение.</w:t>
      </w:r>
    </w:p>
    <w:p>
      <w:r>
        <w:t>11.2. Организатор вправе уточнять технические инструкции до начала соответствующего этапа. Существенное изменение после начала дисциплины допускается только при необходимости устранить техническую ошибку или обеспечить равенство условий; оно доводится до всех затронутых участников одновременно.</w:t>
      </w:r>
    </w:p>
    <w:p>
      <w:pPr>
        <w:pStyle w:val="1"/>
      </w:pPr>
      <w:r>
        <w:t>12. Персональные данные, награждение и заключительные положения</w:t>
      </w:r>
    </w:p>
    <w:p>
      <w:r>
        <w:t>12.1. Обработка персональных данных, публикация результатов, изображения и голоса осуществляются на условиях отдельных согласий и документов, размещённых на платформе. Отзыв обязательного согласия прекращает допуск к последующим публичным этапам.</w:t>
      </w:r>
    </w:p>
    <w:p>
      <w:r>
        <w:t>12.2. Участники, занявшие первое, второе и третье места в каждой категории, награждаются электронными дипломами. Организатор вправе учредить дополнительные номинации и призы при их предварительной публикации.</w:t>
      </w:r>
    </w:p>
    <w:p>
      <w:r>
        <w:t>12.3. Настоящая редакция предназначена для публикации на сайте и в редактируемом документе. Подпись и печать проставляются Организатором на финальной утверждённой версии отдельно.</w:t>
      </w:r>
    </w:p>
    <w:sectPr w:rsidR="00717069" w:rsidRPr="00427DDE" w:rsidSect="00034616">
      <w:headerReference w:type="default" r:id="rId10"/>
      <w:footerReference w:type="default" r:id="rId11"/>
      <w:pgSz w:w="12240" w:h="15840"/>
      <w:pgMar w:top="935" w:right="907" w:bottom="879" w:left="1162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34804" w14:textId="77777777" w:rsidR="00446F8C" w:rsidRDefault="00446F8C">
      <w:pPr>
        <w:spacing w:line="240" w:lineRule="auto"/>
      </w:pPr>
      <w:r>
        <w:separator/>
      </w:r>
    </w:p>
  </w:endnote>
  <w:endnote w:type="continuationSeparator" w:id="0">
    <w:p w14:paraId="7306A250" w14:textId="77777777" w:rsidR="00446F8C" w:rsidRDefault="00446F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A6139" w14:textId="77777777" w:rsidR="00717069" w:rsidRDefault="00717069">
    <w:pPr>
      <w:pStyle w:val="a7"/>
      <w:jc w:val="center"/>
    </w:pPr>
    <w:r>
      <w:rPr>
        <w:rFonts w:ascii="Times New Roman" w:hAnsi="Times New Roman" w:eastAsia="Times New Roman"/>
        <w:color w:val="000000"/>
        <w:sz w:val="18"/>
      </w:rPr>
      <w:t>Правила III Национального онлайн-турнира — редакция 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jc w:val="center"/>
    </w:pPr>
    <w:r>
      <w:rPr>
        <w:color w:val="66705F"/>
        <w:sz w:val="16"/>
      </w:rPr>
      <w:t xml:space="preserve">III Национальный онлайн-турнир по мнемоспорту · Правила · </w:t>
    </w:r>
    <w:r>
      <w:rPr>
        <w:color w:val="66705F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FD3F4" w14:textId="77777777" w:rsidR="00446F8C" w:rsidRDefault="00446F8C">
      <w:pPr>
        <w:spacing w:line="240" w:lineRule="auto"/>
      </w:pPr>
      <w:r>
        <w:separator/>
      </w:r>
    </w:p>
  </w:footnote>
  <w:footnote w:type="continuationSeparator" w:id="0">
    <w:p w14:paraId="45F180E6" w14:textId="77777777" w:rsidR="00446F8C" w:rsidRDefault="00446F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6D7A9" w14:textId="77777777" w:rsidR="00717069" w:rsidRDefault="0071706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7DDE"/>
    <w:rsid w:val="00446F8C"/>
    <w:rsid w:val="00717069"/>
    <w:rsid w:val="00AA1D8D"/>
    <w:rsid w:val="00B47730"/>
    <w:rsid w:val="00CB0664"/>
    <w:rsid w:val="00F43718"/>
    <w:rsid w:val="00FC693F"/>
    <w:rsid w:val="00FD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1F597"/>
  <w14:defaultImageDpi w14:val="300"/>
  <w15:docId w15:val="{1EB79DCE-F8F3-40D9-A1BC-62DEABE8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9" w:lineRule="auto"/>
      <w:ind w:firstLine="709"/>
      <w:jc w:val="both"/>
    </w:pPr>
    <w:rPr>
      <w:rFonts w:ascii="Aptos" w:eastAsia="Aptos" w:hAnsi="Aptos" w:cs="Times New Roman"/>
      <w:color w:val="1F2B21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 w:after="100"/>
      <w:ind w:firstLine="0"/>
      <w:jc w:val="center"/>
      <w:outlineLvl w:val="0"/>
    </w:pPr>
    <w:rPr>
      <w:rFonts w:asciiTheme="majorHAnsi" w:eastAsiaTheme="majorEastAsia" w:hAnsiTheme="majorHAnsi" w:cstheme="majorBidi" w:ascii="Aptos Display" w:hAnsi="Aptos Display" w:eastAsia="Aptos Display" w:cs="Times New Roman"/>
      <w:b/>
      <w:bCs/>
      <w:color w:val="2F7038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00"/>
      <w:ind w:firstLine="0"/>
      <w:jc w:val="left"/>
      <w:outlineLvl w:val="1"/>
    </w:pPr>
    <w:rPr>
      <w:rFonts w:asciiTheme="majorHAnsi" w:eastAsiaTheme="majorEastAsia" w:hAnsiTheme="majorHAnsi" w:cstheme="majorBidi" w:ascii="Aptos Display" w:hAnsi="Aptos Display" w:eastAsia="Aptos Display" w:cs="Times New Roman"/>
      <w:b/>
      <w:bCs/>
      <w:color w:val="2F7038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ptos" w:hAnsi="Aptos" w:eastAsia="Aptos" w:cs="Times New Roman"/>
      <w:b/>
      <w:bCs/>
      <w:color w:val="2F7038"/>
      <w:sz w:val="2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/>
      <w:iCs/>
      <w:color w:val="00000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00000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00000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a2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a3">
    <w:name w:val="Normal Table"/>
    <w:uiPriority w:val="99"/>
    <w:semiHidden/>
    <w:unhideWhenUsed/>
    <w:rPr>
      <w:rFonts w:ascii="Times New Roman" w:hAnsi="Times New Roman" w:eastAsia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a6">
    <w:name w:val="Верхний колонтитул Знак"/>
    <w:basedOn w:val="a2"/>
    <w:link w:val="a5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a8">
    <w:name w:val="Нижний колонтитул Знак"/>
    <w:basedOn w:val="a2"/>
    <w:link w:val="a7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000000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100" w:line="276" w:lineRule="auto" w:before="160"/>
      <w:ind w:firstLine="0"/>
      <w:contextualSpacing/>
      <w:jc w:val="center"/>
    </w:pPr>
    <w:rPr>
      <w:rFonts w:asciiTheme="majorHAnsi" w:eastAsiaTheme="majorEastAsia" w:hAnsiTheme="majorHAnsi" w:cstheme="majorBidi" w:ascii="Aptos Display" w:hAnsi="Aptos Display" w:eastAsia="Aptos Display" w:cs="Times New Roman"/>
      <w:b/>
      <w:color w:val="2F7038"/>
      <w:spacing w:val="5"/>
      <w:kern w:val="28"/>
      <w:sz w:val="4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000000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af0">
    <w:name w:val="Основной текст Знак"/>
    <w:basedOn w:val="a2"/>
    <w:link w:val="af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24">
    <w:name w:val="Основной текст 2 Знак"/>
    <w:basedOn w:val="a2"/>
    <w:link w:val="23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000000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000000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color w:val="000000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</w:rPr>
  </w:style>
  <w:style w:type="character" w:styleId="af7">
    <w:name w:val="Emphasis"/>
    <w:basedOn w:val="a2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afa">
    <w:name w:val="Subtle Emphasis"/>
    <w:basedOn w:val="a2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styleId="afb">
    <w:name w:val="Intense Emphasis"/>
    <w:basedOn w:val="a2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afc">
    <w:name w:val="Subtle Reference"/>
    <w:basedOn w:val="a2"/>
    <w:uiPriority w:val="31"/>
    <w:qFormat/>
    <w:rsid w:val="00FC693F"/>
    <w:rPr>
      <w:rFonts w:ascii="Times New Roman" w:eastAsia="Times New Roman" w:hAnsi="Times New Roman" w:cs="Times New Roman"/>
      <w:smallCaps/>
      <w:color w:val="000000"/>
      <w:u w:val="single"/>
    </w:rPr>
  </w:style>
  <w:style w:type="character" w:styleId="afd">
    <w:name w:val="Intense Reference"/>
    <w:basedOn w:val="a2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 w:cs="Times New Roman"/>
      <w:color w:val="000000"/>
    </w:rPr>
  </w:style>
  <w:style w:type="table" w:styleId="aff0">
    <w:name w:val="Table Grid"/>
    <w:basedOn w:val="a3"/>
    <w:uiPriority w:val="59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umberedItem">
    <w:name w:val="Numbered Item"/>
    <w:pPr>
      <w:spacing w:after="40"/>
      <w:ind w:left="709" w:hanging="42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BulletItem">
    <w:name w:val="Bullet Item"/>
    <w:pPr>
      <w:spacing w:after="40"/>
      <w:ind w:left="992" w:hanging="28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FormField">
    <w:name w:val="Form Field"/>
    <w:pPr>
      <w:spacing w:after="40"/>
      <w:ind w:left="425" w:hanging="425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AppendixHeading">
    <w:name w:val="Appendix Heading"/>
    <w:pPr>
      <w:keepNext/>
      <w:spacing w:after="360"/>
      <w:jc w:val="right"/>
    </w:pPr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rmTitle">
    <w:name w:val="Form Title"/>
    <w:pPr>
      <w:keepNext/>
      <w:spacing w:before="120" w:after="240"/>
      <w:jc w:val="center"/>
    </w:pPr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4843</Words>
  <Characters>27610</Characters>
  <Application>Microsoft Office Word</Application>
  <DocSecurity>0</DocSecurity>
  <Lines>230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III Национального онлайн-турнира по мнемоспорту — редакция 12</dc:title>
  <dc:subject>Снижение организационной нагрузки и устранение избыточных самоограничений Федерации</dc:subject>
  <dc:creator>python-docx</dc:creator>
  <cp:keywords/>
  <dc:description>generated by python-docx</dc:description>
  <cp:lastModifiedBy>Мастер Tut</cp:lastModifiedBy>
  <cp:revision>3</cp:revision>
  <dcterms:created xsi:type="dcterms:W3CDTF">2013-12-23T23:15:00Z</dcterms:created>
  <dcterms:modified xsi:type="dcterms:W3CDTF">2026-08-10T16:27:00Z</dcterms:modified>
  <cp:category/>
</cp:coreProperties>
</file>